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6D5" w:rsidRDefault="00AE26D5">
      <w:pPr>
        <w:jc w:val="center"/>
        <w:rPr>
          <w:b w:val="0"/>
          <w:sz w:val="28"/>
        </w:rPr>
      </w:pPr>
      <w:r>
        <w:rPr>
          <w:b w:val="0"/>
          <w:noProof/>
          <w:sz w:val="28"/>
        </w:rPr>
        <w:t>MARCHES PUBLICS DE FOURNITURES COURANTES ET SERVICES</w:t>
      </w:r>
    </w:p>
    <w:p w:rsidR="00AE26D5" w:rsidRDefault="00AE26D5"/>
    <w:tbl>
      <w:tblPr>
        <w:tblW w:w="0" w:type="auto"/>
        <w:tblBorders>
          <w:top w:val="nil"/>
          <w:left w:val="nil"/>
          <w:bottom w:val="nil"/>
          <w:right w:val="nil"/>
          <w:insideH w:val="nil"/>
          <w:insideV w:val="nil"/>
        </w:tblBorders>
        <w:tblCellMar>
          <w:left w:w="70" w:type="dxa"/>
          <w:right w:w="70" w:type="dxa"/>
        </w:tblCellMar>
        <w:tblLook w:val="00A0" w:firstRow="1" w:lastRow="0" w:firstColumn="1" w:lastColumn="0" w:noHBand="0" w:noVBand="0"/>
      </w:tblPr>
      <w:tblGrid>
        <w:gridCol w:w="3490"/>
        <w:gridCol w:w="4890"/>
      </w:tblGrid>
      <w:tr w:rsidR="00AE26D5">
        <w:tc>
          <w:tcPr>
            <w:tcW w:w="3490" w:type="dxa"/>
          </w:tcPr>
          <w:p w:rsidR="00AE26D5" w:rsidRDefault="00CC3A6B">
            <w:r>
              <w:rPr>
                <w:noProof/>
              </w:rPr>
              <w:drawing>
                <wp:inline distT="0" distB="0" distL="0" distR="0">
                  <wp:extent cx="1295400" cy="1841500"/>
                  <wp:effectExtent l="19050" t="0" r="0" b="0"/>
                  <wp:docPr id="1" name="Image 1" descr="Mairie-seul-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rie-seul-CMJN"/>
                          <pic:cNvPicPr>
                            <a:picLocks noChangeAspect="1" noChangeArrowheads="1"/>
                          </pic:cNvPicPr>
                        </pic:nvPicPr>
                        <pic:blipFill>
                          <a:blip r:embed="rId7" cstate="print"/>
                          <a:srcRect/>
                          <a:stretch>
                            <a:fillRect/>
                          </a:stretch>
                        </pic:blipFill>
                        <pic:spPr bwMode="auto">
                          <a:xfrm>
                            <a:off x="0" y="0"/>
                            <a:ext cx="1295400" cy="1841500"/>
                          </a:xfrm>
                          <a:prstGeom prst="rect">
                            <a:avLst/>
                          </a:prstGeom>
                          <a:noFill/>
                          <a:ln w="9525">
                            <a:noFill/>
                            <a:miter lim="800000"/>
                            <a:headEnd/>
                            <a:tailEnd/>
                          </a:ln>
                        </pic:spPr>
                      </pic:pic>
                    </a:graphicData>
                  </a:graphic>
                </wp:inline>
              </w:drawing>
            </w:r>
          </w:p>
        </w:tc>
        <w:tc>
          <w:tcPr>
            <w:tcW w:w="4890" w:type="dxa"/>
          </w:tcPr>
          <w:p w:rsidR="00AE26D5" w:rsidRDefault="00AE26D5"/>
          <w:p w:rsidR="00AE26D5" w:rsidRDefault="00AE26D5">
            <w:pPr>
              <w:jc w:val="center"/>
            </w:pPr>
          </w:p>
          <w:p w:rsidR="00AE26D5" w:rsidRDefault="00AE26D5">
            <w:pPr>
              <w:jc w:val="center"/>
            </w:pPr>
          </w:p>
          <w:p w:rsidR="00AE26D5" w:rsidRDefault="00AE26D5">
            <w:pPr>
              <w:pStyle w:val="Titre5"/>
            </w:pPr>
            <w:r>
              <w:t>MARCHE A PROCEDURE ADAPTEE</w:t>
            </w:r>
          </w:p>
          <w:p w:rsidR="00AE26D5" w:rsidRDefault="00AE26D5">
            <w:pPr>
              <w:jc w:val="center"/>
            </w:pPr>
          </w:p>
          <w:p w:rsidR="00AE26D5" w:rsidRDefault="003E3CE4">
            <w:pPr>
              <w:pStyle w:val="Titre4"/>
              <w:jc w:val="center"/>
            </w:pPr>
            <w:r>
              <w:t>(</w:t>
            </w:r>
            <w:r w:rsidR="009C329D">
              <w:t>Selon l’article 28 du CMP)</w:t>
            </w:r>
          </w:p>
        </w:tc>
      </w:tr>
    </w:tbl>
    <w:p w:rsidR="00E147D7" w:rsidRDefault="00E147D7" w:rsidP="00E147D7">
      <w:pPr>
        <w:pStyle w:val="Corpsdetexte"/>
        <w:pBdr>
          <w:top w:val="single" w:sz="4" w:space="1" w:color="auto"/>
          <w:left w:val="single" w:sz="4" w:space="4" w:color="auto"/>
          <w:bottom w:val="single" w:sz="4" w:space="1" w:color="auto"/>
          <w:right w:val="single" w:sz="4" w:space="4" w:color="auto"/>
        </w:pBdr>
        <w:rPr>
          <w:rFonts w:ascii="Arial" w:hAnsi="Arial" w:cs="Arial"/>
          <w:szCs w:val="22"/>
        </w:rPr>
      </w:pPr>
    </w:p>
    <w:p w:rsidR="00E147D7" w:rsidRDefault="00E147D7" w:rsidP="00E147D7">
      <w:pPr>
        <w:pStyle w:val="Corpsdetexte"/>
        <w:pBdr>
          <w:top w:val="single" w:sz="4" w:space="1" w:color="auto"/>
          <w:left w:val="single" w:sz="4" w:space="4" w:color="auto"/>
          <w:bottom w:val="single" w:sz="4" w:space="1" w:color="auto"/>
          <w:right w:val="single" w:sz="4" w:space="4" w:color="auto"/>
        </w:pBdr>
        <w:rPr>
          <w:rFonts w:ascii="Arial" w:hAnsi="Arial" w:cs="Arial"/>
          <w:szCs w:val="22"/>
        </w:rPr>
      </w:pPr>
      <w:r>
        <w:rPr>
          <w:rFonts w:ascii="Arial" w:hAnsi="Arial" w:cs="Arial"/>
          <w:szCs w:val="22"/>
        </w:rPr>
        <w:t xml:space="preserve">NETTOYAGE ET ENTRETIEN </w:t>
      </w:r>
      <w:r w:rsidR="00083DEE">
        <w:rPr>
          <w:rFonts w:ascii="Arial" w:hAnsi="Arial" w:cs="Arial"/>
          <w:szCs w:val="22"/>
        </w:rPr>
        <w:t>DE L’ECOLE DE MARTILLAC</w:t>
      </w:r>
      <w:r>
        <w:rPr>
          <w:rFonts w:ascii="Arial" w:hAnsi="Arial" w:cs="Arial"/>
          <w:szCs w:val="22"/>
        </w:rPr>
        <w:t xml:space="preserve"> POUR L’ANNEE 20</w:t>
      </w:r>
      <w:r w:rsidR="00910CA1">
        <w:rPr>
          <w:rFonts w:ascii="Arial" w:hAnsi="Arial" w:cs="Arial"/>
          <w:szCs w:val="22"/>
        </w:rPr>
        <w:t>2</w:t>
      </w:r>
      <w:r w:rsidR="0061318F">
        <w:rPr>
          <w:rFonts w:ascii="Arial" w:hAnsi="Arial" w:cs="Arial"/>
          <w:szCs w:val="22"/>
        </w:rPr>
        <w:t>3</w:t>
      </w:r>
      <w:r>
        <w:rPr>
          <w:rFonts w:ascii="Arial" w:hAnsi="Arial" w:cs="Arial"/>
          <w:szCs w:val="22"/>
        </w:rPr>
        <w:t>-202</w:t>
      </w:r>
      <w:r w:rsidR="00536BB4">
        <w:rPr>
          <w:rFonts w:ascii="Arial" w:hAnsi="Arial" w:cs="Arial"/>
          <w:szCs w:val="22"/>
        </w:rPr>
        <w:t>6</w:t>
      </w:r>
    </w:p>
    <w:p w:rsidR="00E147D7" w:rsidRDefault="00E147D7" w:rsidP="00E147D7">
      <w:pPr>
        <w:pStyle w:val="Corpsdetexte"/>
        <w:pBdr>
          <w:top w:val="single" w:sz="4" w:space="1" w:color="auto"/>
          <w:left w:val="single" w:sz="4" w:space="4" w:color="auto"/>
          <w:bottom w:val="single" w:sz="4" w:space="1" w:color="auto"/>
          <w:right w:val="single" w:sz="4" w:space="4" w:color="auto"/>
        </w:pBdr>
        <w:rPr>
          <w:rFonts w:ascii="Arial" w:hAnsi="Arial" w:cs="Arial"/>
          <w:szCs w:val="22"/>
        </w:rPr>
      </w:pPr>
    </w:p>
    <w:p w:rsidR="00E147D7" w:rsidRDefault="00E147D7" w:rsidP="00E147D7">
      <w:pPr>
        <w:rPr>
          <w:rFonts w:ascii="Arial" w:hAnsi="Arial" w:cs="Arial"/>
        </w:rPr>
      </w:pPr>
    </w:p>
    <w:p w:rsidR="00AE26D5" w:rsidRDefault="00AE26D5"/>
    <w:p w:rsidR="00AE26D5" w:rsidRPr="00330511" w:rsidRDefault="00AE26D5">
      <w:pPr>
        <w:jc w:val="center"/>
        <w:rPr>
          <w:noProof/>
          <w:sz w:val="36"/>
          <w:u w:val="single"/>
        </w:rPr>
      </w:pPr>
      <w:r w:rsidRPr="00330511">
        <w:rPr>
          <w:noProof/>
          <w:sz w:val="36"/>
          <w:u w:val="single"/>
        </w:rPr>
        <w:t>C.C.A.P.</w:t>
      </w:r>
    </w:p>
    <w:p w:rsidR="00AE26D5" w:rsidRPr="00330511" w:rsidRDefault="00AE26D5">
      <w:pPr>
        <w:jc w:val="center"/>
        <w:rPr>
          <w:noProof/>
          <w:sz w:val="36"/>
          <w:u w:val="single"/>
        </w:rPr>
      </w:pPr>
    </w:p>
    <w:p w:rsidR="00AE26D5" w:rsidRDefault="00AE26D5" w:rsidP="00D7115D">
      <w:pPr>
        <w:jc w:val="center"/>
        <w:rPr>
          <w:noProof/>
          <w:sz w:val="36"/>
          <w:u w:val="single"/>
        </w:rPr>
      </w:pPr>
      <w:r>
        <w:rPr>
          <w:noProof/>
          <w:sz w:val="36"/>
          <w:u w:val="single"/>
        </w:rPr>
        <w:t xml:space="preserve">Nettoyage et Entretien </w:t>
      </w:r>
      <w:r w:rsidR="00083DEE">
        <w:rPr>
          <w:noProof/>
          <w:sz w:val="36"/>
          <w:u w:val="single"/>
        </w:rPr>
        <w:t>de l’école de Martillac</w:t>
      </w:r>
    </w:p>
    <w:p w:rsidR="00CC3A6B" w:rsidRDefault="00CC3A6B" w:rsidP="00D7115D">
      <w:pPr>
        <w:jc w:val="center"/>
        <w:rPr>
          <w:noProof/>
          <w:sz w:val="36"/>
          <w:u w:val="single"/>
        </w:rPr>
      </w:pPr>
    </w:p>
    <w:p w:rsidR="00CC3A6B" w:rsidRDefault="00CC3A6B" w:rsidP="00D7115D">
      <w:pPr>
        <w:jc w:val="center"/>
        <w:rPr>
          <w:noProof/>
          <w:sz w:val="36"/>
          <w:u w:val="single"/>
        </w:rPr>
      </w:pPr>
    </w:p>
    <w:p w:rsidR="00AE26D5" w:rsidRDefault="00AE26D5">
      <w:pPr>
        <w:jc w:val="both"/>
        <w:rPr>
          <w:noProof/>
          <w:sz w:val="36"/>
          <w:u w:val="single"/>
        </w:rPr>
      </w:pPr>
    </w:p>
    <w:p w:rsidR="00AE26D5" w:rsidRPr="00330511" w:rsidRDefault="00AE26D5">
      <w:pPr>
        <w:jc w:val="center"/>
        <w:rPr>
          <w:b w:val="0"/>
          <w:bCs w:val="0"/>
          <w:sz w:val="36"/>
          <w:u w:val="single"/>
        </w:rPr>
        <w:sectPr w:rsidR="00AE26D5" w:rsidRPr="00330511">
          <w:footerReference w:type="default" r:id="rId8"/>
          <w:pgSz w:w="11906" w:h="16838"/>
          <w:pgMar w:top="1417" w:right="1417" w:bottom="1417" w:left="1417" w:header="708" w:footer="708" w:gutter="0"/>
          <w:cols w:space="708"/>
          <w:docGrid w:linePitch="360"/>
        </w:sectPr>
      </w:pPr>
    </w:p>
    <w:p w:rsidR="00AE26D5" w:rsidRPr="00D7115D" w:rsidRDefault="00AE26D5">
      <w:pPr>
        <w:rPr>
          <w:b w:val="0"/>
          <w:bCs w:val="0"/>
          <w:szCs w:val="22"/>
        </w:rPr>
      </w:pPr>
      <w:r w:rsidRPr="00D7115D">
        <w:rPr>
          <w:b w:val="0"/>
          <w:bCs w:val="0"/>
          <w:szCs w:val="22"/>
        </w:rPr>
        <w:lastRenderedPageBreak/>
        <w:t>Article 1 OBJET ET DUREE DU MARCHE</w:t>
      </w:r>
    </w:p>
    <w:p w:rsidR="00AE26D5" w:rsidRPr="00D7115D" w:rsidRDefault="00AE26D5">
      <w:pPr>
        <w:pStyle w:val="Corpsdetexte2"/>
        <w:jc w:val="both"/>
        <w:rPr>
          <w:sz w:val="22"/>
          <w:szCs w:val="22"/>
        </w:rPr>
      </w:pPr>
      <w:r w:rsidRPr="00D7115D">
        <w:rPr>
          <w:sz w:val="22"/>
          <w:szCs w:val="22"/>
        </w:rPr>
        <w:t xml:space="preserve">L’objet du marché est le nettoyage et l’entretien </w:t>
      </w:r>
      <w:r w:rsidR="00E541E8">
        <w:rPr>
          <w:sz w:val="22"/>
          <w:szCs w:val="22"/>
        </w:rPr>
        <w:t>de l’école des Mille Sources</w:t>
      </w:r>
      <w:r w:rsidRPr="00D7115D">
        <w:rPr>
          <w:sz w:val="22"/>
          <w:szCs w:val="22"/>
        </w:rPr>
        <w:t>.</w:t>
      </w:r>
    </w:p>
    <w:p w:rsidR="00AE26D5" w:rsidRPr="00D7115D" w:rsidRDefault="00AE26D5">
      <w:pPr>
        <w:pStyle w:val="Corpsdetexte2"/>
        <w:jc w:val="both"/>
        <w:rPr>
          <w:sz w:val="22"/>
          <w:szCs w:val="22"/>
        </w:rPr>
      </w:pPr>
      <w:r w:rsidRPr="00D7115D">
        <w:rPr>
          <w:sz w:val="22"/>
          <w:szCs w:val="22"/>
        </w:rPr>
        <w:t>Les produits et matériels nécessaires à la prestation ne sont pas fournis par la municipalité.</w:t>
      </w:r>
    </w:p>
    <w:p w:rsidR="00AE26D5" w:rsidRPr="00D7115D" w:rsidRDefault="00AE26D5">
      <w:pPr>
        <w:pStyle w:val="Corpsdetexte2"/>
        <w:jc w:val="both"/>
        <w:rPr>
          <w:sz w:val="22"/>
          <w:szCs w:val="22"/>
        </w:rPr>
      </w:pPr>
      <w:r w:rsidRPr="00D7115D">
        <w:rPr>
          <w:sz w:val="22"/>
          <w:szCs w:val="22"/>
        </w:rPr>
        <w:t xml:space="preserve">Le présent marché est conclu pour une durée de </w:t>
      </w:r>
      <w:r w:rsidR="00536BB4">
        <w:rPr>
          <w:sz w:val="22"/>
          <w:szCs w:val="22"/>
        </w:rPr>
        <w:t>3</w:t>
      </w:r>
      <w:r w:rsidR="00330511">
        <w:rPr>
          <w:sz w:val="22"/>
          <w:szCs w:val="22"/>
        </w:rPr>
        <w:t xml:space="preserve"> ans</w:t>
      </w:r>
      <w:r w:rsidRPr="00D7115D">
        <w:rPr>
          <w:sz w:val="22"/>
          <w:szCs w:val="22"/>
        </w:rPr>
        <w:t xml:space="preserve"> à compter de la notification au titulaire.</w:t>
      </w:r>
    </w:p>
    <w:p w:rsidR="00AE26D5" w:rsidRPr="00D7115D" w:rsidRDefault="00AE26D5">
      <w:pPr>
        <w:jc w:val="both"/>
        <w:rPr>
          <w:b w:val="0"/>
          <w:bCs w:val="0"/>
          <w:szCs w:val="22"/>
        </w:rPr>
      </w:pPr>
    </w:p>
    <w:p w:rsidR="00AE26D5" w:rsidRPr="00D7115D" w:rsidRDefault="00AE26D5">
      <w:pPr>
        <w:jc w:val="both"/>
        <w:rPr>
          <w:b w:val="0"/>
          <w:bCs w:val="0"/>
          <w:szCs w:val="22"/>
        </w:rPr>
      </w:pPr>
      <w:r w:rsidRPr="00D7115D">
        <w:rPr>
          <w:b w:val="0"/>
          <w:bCs w:val="0"/>
          <w:szCs w:val="22"/>
        </w:rPr>
        <w:t>Article 2 DOCUMENTS CONTRACTUELS</w:t>
      </w:r>
    </w:p>
    <w:p w:rsidR="00AE26D5" w:rsidRPr="00D7115D" w:rsidRDefault="00AE26D5">
      <w:pPr>
        <w:pStyle w:val="Normal1"/>
        <w:ind w:firstLine="0"/>
        <w:rPr>
          <w:rFonts w:ascii="Verdana" w:hAnsi="Verdana"/>
          <w:noProof/>
        </w:rPr>
      </w:pPr>
      <w:r w:rsidRPr="00D7115D">
        <w:rPr>
          <w:rFonts w:ascii="Verdana" w:hAnsi="Verdana"/>
          <w:noProof/>
        </w:rPr>
        <w:t>Les pièces constitutives du marché sont les suivantes par ordre de priorité :</w:t>
      </w:r>
    </w:p>
    <w:p w:rsidR="00AE26D5" w:rsidRPr="00D7115D" w:rsidRDefault="00AE26D5">
      <w:pPr>
        <w:pStyle w:val="Normal1"/>
        <w:numPr>
          <w:ilvl w:val="0"/>
          <w:numId w:val="1"/>
        </w:numPr>
        <w:ind w:left="851"/>
        <w:rPr>
          <w:rFonts w:ascii="Verdana" w:hAnsi="Verdana"/>
          <w:noProof/>
        </w:rPr>
      </w:pPr>
      <w:r w:rsidRPr="00D7115D">
        <w:rPr>
          <w:rFonts w:ascii="Verdana" w:hAnsi="Verdana"/>
          <w:noProof/>
        </w:rPr>
        <w:t>L’acte d’engagement (A.E.) et ses annexes,</w:t>
      </w:r>
    </w:p>
    <w:p w:rsidR="00AE26D5" w:rsidRPr="00D7115D" w:rsidRDefault="00AE26D5">
      <w:pPr>
        <w:pStyle w:val="Normal1"/>
        <w:numPr>
          <w:ilvl w:val="0"/>
          <w:numId w:val="1"/>
        </w:numPr>
        <w:ind w:left="851"/>
        <w:rPr>
          <w:rFonts w:ascii="Verdana" w:hAnsi="Verdana"/>
          <w:noProof/>
        </w:rPr>
      </w:pPr>
      <w:r w:rsidRPr="00D7115D">
        <w:rPr>
          <w:rFonts w:ascii="Verdana" w:hAnsi="Verdana"/>
          <w:noProof/>
        </w:rPr>
        <w:t>Le présent cahier des clauses administratives particulières (C.C.A.P.),</w:t>
      </w:r>
    </w:p>
    <w:p w:rsidR="00AE26D5" w:rsidRPr="00D7115D" w:rsidRDefault="00AE26D5">
      <w:pPr>
        <w:pStyle w:val="Normal1"/>
        <w:numPr>
          <w:ilvl w:val="0"/>
          <w:numId w:val="1"/>
        </w:numPr>
        <w:ind w:left="851"/>
        <w:rPr>
          <w:rFonts w:ascii="Verdana" w:hAnsi="Verdana"/>
          <w:noProof/>
        </w:rPr>
      </w:pPr>
      <w:r w:rsidRPr="00D7115D">
        <w:rPr>
          <w:rFonts w:ascii="Verdana" w:hAnsi="Verdana"/>
          <w:noProof/>
        </w:rPr>
        <w:t>Le cahier des clauses techniques particulières (C.C.T.P.),</w:t>
      </w:r>
    </w:p>
    <w:p w:rsidR="00AE26D5" w:rsidRPr="00D7115D" w:rsidRDefault="00AE26D5">
      <w:pPr>
        <w:pStyle w:val="Normal1"/>
        <w:numPr>
          <w:ilvl w:val="0"/>
          <w:numId w:val="1"/>
        </w:numPr>
        <w:ind w:left="851"/>
        <w:rPr>
          <w:rFonts w:ascii="Verdana" w:hAnsi="Verdana"/>
          <w:noProof/>
        </w:rPr>
      </w:pPr>
      <w:r w:rsidRPr="00D7115D">
        <w:rPr>
          <w:rFonts w:ascii="Verdana" w:hAnsi="Verdana"/>
          <w:noProof/>
        </w:rPr>
        <w:t>Le mémoire technique précisant l’ensemble de la prestation</w:t>
      </w:r>
    </w:p>
    <w:p w:rsidR="00AE26D5" w:rsidRPr="00D7115D" w:rsidRDefault="00AE26D5">
      <w:pPr>
        <w:pStyle w:val="Normal1"/>
        <w:rPr>
          <w:noProof/>
        </w:rPr>
      </w:pPr>
    </w:p>
    <w:p w:rsidR="00AE26D5" w:rsidRPr="00D7115D" w:rsidRDefault="00AE26D5">
      <w:pPr>
        <w:rPr>
          <w:b w:val="0"/>
          <w:bCs w:val="0"/>
          <w:szCs w:val="22"/>
        </w:rPr>
      </w:pPr>
      <w:r w:rsidRPr="00D7115D">
        <w:rPr>
          <w:b w:val="0"/>
          <w:bCs w:val="0"/>
          <w:szCs w:val="22"/>
        </w:rPr>
        <w:t>Article 3 PERIODICITE D’EXECUTION</w:t>
      </w:r>
    </w:p>
    <w:p w:rsidR="00AE26D5" w:rsidRPr="00D7115D" w:rsidRDefault="00AE26D5" w:rsidP="00D7115D">
      <w:pPr>
        <w:jc w:val="both"/>
        <w:rPr>
          <w:b w:val="0"/>
          <w:bCs w:val="0"/>
          <w:szCs w:val="22"/>
        </w:rPr>
      </w:pPr>
      <w:r w:rsidRPr="00D7115D">
        <w:rPr>
          <w:b w:val="0"/>
          <w:bCs w:val="0"/>
          <w:szCs w:val="22"/>
        </w:rPr>
        <w:t>La périodicité d’exécution de chacune des prestations est précisée dans le CCTP. Lorsque la périodicité n’est pas indiquée, les entreprises candidates doivent faire figurer ce critère dans leur offre.</w:t>
      </w:r>
    </w:p>
    <w:p w:rsidR="00AE26D5" w:rsidRPr="00D7115D" w:rsidRDefault="00AE26D5">
      <w:pPr>
        <w:jc w:val="both"/>
        <w:rPr>
          <w:b w:val="0"/>
          <w:bCs w:val="0"/>
          <w:szCs w:val="22"/>
        </w:rPr>
      </w:pPr>
    </w:p>
    <w:p w:rsidR="00AE26D5" w:rsidRPr="00D7115D" w:rsidRDefault="00AE26D5">
      <w:pPr>
        <w:jc w:val="both"/>
        <w:rPr>
          <w:b w:val="0"/>
          <w:bCs w:val="0"/>
          <w:szCs w:val="22"/>
        </w:rPr>
      </w:pPr>
      <w:r w:rsidRPr="00D7115D">
        <w:rPr>
          <w:b w:val="0"/>
          <w:bCs w:val="0"/>
          <w:szCs w:val="22"/>
        </w:rPr>
        <w:t>Article 4 CONDITIONS D’EXECUTION</w:t>
      </w:r>
    </w:p>
    <w:p w:rsidR="00AE26D5" w:rsidRPr="00D7115D" w:rsidRDefault="00D7115D" w:rsidP="00D7115D">
      <w:pPr>
        <w:jc w:val="both"/>
        <w:rPr>
          <w:b w:val="0"/>
          <w:bCs w:val="0"/>
          <w:szCs w:val="22"/>
        </w:rPr>
      </w:pPr>
      <w:r w:rsidRPr="00D7115D">
        <w:rPr>
          <w:b w:val="0"/>
          <w:bCs w:val="0"/>
          <w:szCs w:val="22"/>
        </w:rPr>
        <w:t>Article 4</w:t>
      </w:r>
      <w:r w:rsidR="00AE26D5" w:rsidRPr="00D7115D">
        <w:rPr>
          <w:b w:val="0"/>
          <w:bCs w:val="0"/>
          <w:szCs w:val="22"/>
        </w:rPr>
        <w:t>-1 Calendrier mensuel</w:t>
      </w:r>
    </w:p>
    <w:p w:rsidR="00AE26D5" w:rsidRPr="00D7115D" w:rsidRDefault="00AE26D5" w:rsidP="00D7115D">
      <w:pPr>
        <w:pStyle w:val="Retraitcorpsdetexte"/>
        <w:ind w:firstLine="0"/>
        <w:rPr>
          <w:sz w:val="22"/>
          <w:szCs w:val="22"/>
        </w:rPr>
      </w:pPr>
      <w:r w:rsidRPr="00D7115D">
        <w:rPr>
          <w:sz w:val="22"/>
          <w:szCs w:val="22"/>
        </w:rPr>
        <w:t>Le titulaire devra soumettre au visa de la personne publique, dans les 10 jours suivant la notification, le calendrier mensuel des prestations à exécuter, établi selon le cadre fixé par la personne publique.</w:t>
      </w:r>
    </w:p>
    <w:p w:rsidR="00AE26D5" w:rsidRPr="00D7115D" w:rsidRDefault="00AE26D5">
      <w:pPr>
        <w:ind w:firstLine="708"/>
        <w:jc w:val="both"/>
        <w:rPr>
          <w:b w:val="0"/>
          <w:bCs w:val="0"/>
          <w:szCs w:val="22"/>
        </w:rPr>
      </w:pPr>
    </w:p>
    <w:p w:rsidR="00AE26D5" w:rsidRPr="00D7115D" w:rsidRDefault="00D7115D" w:rsidP="00D7115D">
      <w:pPr>
        <w:jc w:val="both"/>
        <w:rPr>
          <w:b w:val="0"/>
          <w:bCs w:val="0"/>
          <w:szCs w:val="22"/>
        </w:rPr>
      </w:pPr>
      <w:r>
        <w:rPr>
          <w:b w:val="0"/>
          <w:bCs w:val="0"/>
          <w:szCs w:val="22"/>
        </w:rPr>
        <w:t>Article 4</w:t>
      </w:r>
      <w:r w:rsidR="00AE26D5" w:rsidRPr="00D7115D">
        <w:rPr>
          <w:b w:val="0"/>
          <w:bCs w:val="0"/>
          <w:szCs w:val="22"/>
        </w:rPr>
        <w:t>-2 Effectifs</w:t>
      </w:r>
    </w:p>
    <w:p w:rsidR="00AE26D5" w:rsidRPr="00D7115D" w:rsidRDefault="00AE26D5" w:rsidP="00D7115D">
      <w:pPr>
        <w:jc w:val="both"/>
        <w:rPr>
          <w:b w:val="0"/>
          <w:bCs w:val="0"/>
          <w:szCs w:val="22"/>
        </w:rPr>
      </w:pPr>
      <w:r w:rsidRPr="00D7115D">
        <w:rPr>
          <w:b w:val="0"/>
          <w:bCs w:val="0"/>
          <w:szCs w:val="22"/>
        </w:rPr>
        <w:t>Les effectifs globaux nécessaires à l’exécution de toutes les prestations décrites et leur répartition quotidienne seront fixés par le titulaire dans le mémoire justificatif annexé à son acte d’engagement.</w:t>
      </w:r>
    </w:p>
    <w:p w:rsidR="00AE26D5" w:rsidRPr="00D7115D" w:rsidRDefault="00AE26D5">
      <w:pPr>
        <w:jc w:val="both"/>
        <w:rPr>
          <w:b w:val="0"/>
          <w:bCs w:val="0"/>
          <w:szCs w:val="22"/>
        </w:rPr>
      </w:pPr>
    </w:p>
    <w:p w:rsidR="00AE26D5" w:rsidRPr="00D7115D" w:rsidRDefault="00D7115D" w:rsidP="00D7115D">
      <w:pPr>
        <w:jc w:val="both"/>
        <w:rPr>
          <w:b w:val="0"/>
          <w:bCs w:val="0"/>
          <w:szCs w:val="22"/>
        </w:rPr>
      </w:pPr>
      <w:r>
        <w:rPr>
          <w:b w:val="0"/>
          <w:bCs w:val="0"/>
          <w:szCs w:val="22"/>
        </w:rPr>
        <w:t>Article 4</w:t>
      </w:r>
      <w:r w:rsidR="00AE26D5" w:rsidRPr="00D7115D">
        <w:rPr>
          <w:b w:val="0"/>
          <w:bCs w:val="0"/>
          <w:szCs w:val="22"/>
        </w:rPr>
        <w:t>-3 Accès aux locaux et équipements</w:t>
      </w:r>
    </w:p>
    <w:p w:rsidR="00AE26D5" w:rsidRPr="00D7115D" w:rsidRDefault="00AE26D5" w:rsidP="00D7115D">
      <w:pPr>
        <w:pStyle w:val="Retraitcorpsdetexte"/>
        <w:ind w:firstLine="0"/>
        <w:rPr>
          <w:sz w:val="22"/>
          <w:szCs w:val="22"/>
        </w:rPr>
      </w:pPr>
      <w:r w:rsidRPr="00D7115D">
        <w:rPr>
          <w:sz w:val="22"/>
          <w:szCs w:val="22"/>
        </w:rPr>
        <w:t>La personne publique dotera le titulaire de clés en quantité suffisante permettant l’accès aux locaux intéressés par les prestations. En cas de perte ou de vol, le titulaire avisera aussitôt la personne publique des exemplaires manquants. Le titulaire sera habilité à (dés)activer les systèmes d’alarmes mis en place ; il sera tenu de les réactiver sauf indication contraire de la personne publique.</w:t>
      </w:r>
    </w:p>
    <w:p w:rsidR="00AE26D5" w:rsidRPr="00D7115D" w:rsidRDefault="00AE26D5">
      <w:pPr>
        <w:pStyle w:val="Retraitcorpsdetexte"/>
        <w:rPr>
          <w:sz w:val="22"/>
          <w:szCs w:val="22"/>
        </w:rPr>
      </w:pPr>
    </w:p>
    <w:p w:rsidR="00AE26D5" w:rsidRPr="00D7115D" w:rsidRDefault="00AE26D5" w:rsidP="00D7115D">
      <w:pPr>
        <w:jc w:val="both"/>
        <w:rPr>
          <w:b w:val="0"/>
          <w:bCs w:val="0"/>
          <w:szCs w:val="22"/>
        </w:rPr>
      </w:pPr>
      <w:r w:rsidRPr="00D7115D">
        <w:rPr>
          <w:b w:val="0"/>
          <w:bCs w:val="0"/>
          <w:szCs w:val="22"/>
        </w:rPr>
        <w:t xml:space="preserve">Article </w:t>
      </w:r>
      <w:r w:rsidR="00D7115D">
        <w:rPr>
          <w:b w:val="0"/>
          <w:bCs w:val="0"/>
          <w:szCs w:val="22"/>
        </w:rPr>
        <w:t>4</w:t>
      </w:r>
      <w:r w:rsidRPr="00D7115D">
        <w:rPr>
          <w:b w:val="0"/>
          <w:bCs w:val="0"/>
          <w:szCs w:val="22"/>
        </w:rPr>
        <w:t>-4 Sujétions résultant des activités d’exploitation</w:t>
      </w:r>
    </w:p>
    <w:p w:rsidR="00AE26D5" w:rsidRPr="00D7115D" w:rsidRDefault="00AE26D5" w:rsidP="00D7115D">
      <w:pPr>
        <w:jc w:val="both"/>
        <w:rPr>
          <w:b w:val="0"/>
          <w:bCs w:val="0"/>
          <w:szCs w:val="22"/>
        </w:rPr>
      </w:pPr>
      <w:r w:rsidRPr="00D7115D">
        <w:rPr>
          <w:b w:val="0"/>
          <w:bCs w:val="0"/>
          <w:szCs w:val="22"/>
        </w:rPr>
        <w:lastRenderedPageBreak/>
        <w:t>Le titulaire ne pourra se prévaloir, pour éluder les obligations du marché ou pour élever une réclamation, des sujétions qui pourront être occasionnées par les activités d’exploitation des locaux.</w:t>
      </w:r>
    </w:p>
    <w:p w:rsidR="00AE26D5" w:rsidRPr="00D7115D" w:rsidRDefault="00AE26D5">
      <w:pPr>
        <w:pStyle w:val="Retraitcorpsdetexte"/>
        <w:rPr>
          <w:b/>
          <w:bCs/>
          <w:sz w:val="22"/>
          <w:szCs w:val="22"/>
        </w:rPr>
      </w:pPr>
    </w:p>
    <w:p w:rsidR="00AE26D5" w:rsidRPr="00D7115D" w:rsidRDefault="00AE26D5">
      <w:pPr>
        <w:jc w:val="both"/>
        <w:rPr>
          <w:b w:val="0"/>
          <w:bCs w:val="0"/>
          <w:szCs w:val="22"/>
        </w:rPr>
      </w:pPr>
      <w:r w:rsidRPr="00D7115D">
        <w:rPr>
          <w:b w:val="0"/>
          <w:bCs w:val="0"/>
          <w:szCs w:val="22"/>
        </w:rPr>
        <w:t>Article 5 PRIX</w:t>
      </w:r>
    </w:p>
    <w:p w:rsidR="00AE26D5" w:rsidRPr="00D7115D" w:rsidRDefault="00AE26D5">
      <w:pPr>
        <w:pStyle w:val="Corpsdetexte3"/>
        <w:rPr>
          <w:sz w:val="22"/>
          <w:szCs w:val="22"/>
        </w:rPr>
      </w:pPr>
      <w:r w:rsidRPr="00D7115D">
        <w:rPr>
          <w:sz w:val="22"/>
          <w:szCs w:val="22"/>
        </w:rPr>
        <w:t>Le marché est traité à prix forfaitaire fer</w:t>
      </w:r>
      <w:r w:rsidR="00392DE5">
        <w:rPr>
          <w:sz w:val="22"/>
          <w:szCs w:val="22"/>
        </w:rPr>
        <w:t xml:space="preserve">me : la décomposition indiquée </w:t>
      </w:r>
      <w:r w:rsidRPr="00D7115D">
        <w:rPr>
          <w:sz w:val="22"/>
          <w:szCs w:val="22"/>
        </w:rPr>
        <w:t>dans le CCTP sera utilisée en cas de changement dans la nature des travaux pendant la durée de validité du marché.</w:t>
      </w:r>
      <w:r w:rsidR="00536BB4">
        <w:rPr>
          <w:sz w:val="22"/>
          <w:szCs w:val="22"/>
        </w:rPr>
        <w:t xml:space="preserve"> </w:t>
      </w:r>
      <w:r w:rsidR="00536BB4" w:rsidRPr="00536BB4">
        <w:rPr>
          <w:sz w:val="22"/>
          <w:szCs w:val="22"/>
          <w:u w:val="single"/>
        </w:rPr>
        <w:t xml:space="preserve">Les prix pourront </w:t>
      </w:r>
      <w:r w:rsidR="00536BB4">
        <w:rPr>
          <w:sz w:val="22"/>
          <w:szCs w:val="22"/>
          <w:u w:val="single"/>
        </w:rPr>
        <w:t>être révis</w:t>
      </w:r>
      <w:r w:rsidR="00536BB4" w:rsidRPr="00536BB4">
        <w:rPr>
          <w:sz w:val="22"/>
          <w:szCs w:val="22"/>
          <w:u w:val="single"/>
        </w:rPr>
        <w:t xml:space="preserve">és sur la variation annuelle de l’inflation et du SMIC, et </w:t>
      </w:r>
      <w:r w:rsidR="00536BB4">
        <w:rPr>
          <w:sz w:val="22"/>
          <w:szCs w:val="22"/>
          <w:u w:val="single"/>
        </w:rPr>
        <w:t>ce</w:t>
      </w:r>
      <w:bookmarkStart w:id="0" w:name="_GoBack"/>
      <w:bookmarkEnd w:id="0"/>
      <w:r w:rsidR="00536BB4" w:rsidRPr="00536BB4">
        <w:rPr>
          <w:sz w:val="22"/>
          <w:szCs w:val="22"/>
          <w:u w:val="single"/>
        </w:rPr>
        <w:t xml:space="preserve"> une fois par an à la date anniversaire du contrat (en 2024, en 2025).</w:t>
      </w:r>
    </w:p>
    <w:p w:rsidR="00AE26D5" w:rsidRPr="00D7115D" w:rsidRDefault="00AE26D5">
      <w:pPr>
        <w:pStyle w:val="Corpsdetexte3"/>
        <w:rPr>
          <w:sz w:val="22"/>
          <w:szCs w:val="22"/>
        </w:rPr>
      </w:pPr>
    </w:p>
    <w:p w:rsidR="00AE26D5" w:rsidRPr="00D7115D" w:rsidRDefault="00AE26D5">
      <w:pPr>
        <w:jc w:val="both"/>
        <w:rPr>
          <w:b w:val="0"/>
          <w:bCs w:val="0"/>
          <w:szCs w:val="22"/>
        </w:rPr>
      </w:pPr>
      <w:r w:rsidRPr="00D7115D">
        <w:rPr>
          <w:b w:val="0"/>
          <w:bCs w:val="0"/>
          <w:szCs w:val="22"/>
        </w:rPr>
        <w:t>Article 6 PENALITES</w:t>
      </w:r>
    </w:p>
    <w:p w:rsidR="00AE26D5" w:rsidRDefault="00AE26D5" w:rsidP="00D7115D">
      <w:pPr>
        <w:jc w:val="both"/>
        <w:rPr>
          <w:b w:val="0"/>
        </w:rPr>
      </w:pPr>
      <w:r w:rsidRPr="00D7115D">
        <w:rPr>
          <w:b w:val="0"/>
        </w:rPr>
        <w:t>Les opérations qui n’auront été exécutées que partiellement donneront lieu à l’application d’une réfaction d’une valeur correspondant aux prestations non réalisées ou réalisées que partiellement et indiquée en annexe du CCTP.</w:t>
      </w:r>
    </w:p>
    <w:p w:rsidR="00285D02" w:rsidRDefault="00285D02" w:rsidP="00D7115D">
      <w:pPr>
        <w:jc w:val="both"/>
        <w:rPr>
          <w:b w:val="0"/>
        </w:rPr>
      </w:pPr>
    </w:p>
    <w:p w:rsidR="00285D02" w:rsidRPr="00285D02" w:rsidRDefault="00285D02" w:rsidP="00D7115D">
      <w:pPr>
        <w:jc w:val="both"/>
        <w:rPr>
          <w:b w:val="0"/>
          <w:sz w:val="18"/>
          <w:szCs w:val="18"/>
        </w:rPr>
      </w:pPr>
      <w:r w:rsidRPr="00285D02">
        <w:rPr>
          <w:b w:val="0"/>
          <w:sz w:val="18"/>
          <w:szCs w:val="18"/>
        </w:rPr>
        <w:t>Visa pour acceptation par l’entreprise</w:t>
      </w:r>
      <w:r w:rsidR="00910CA1">
        <w:rPr>
          <w:b w:val="0"/>
          <w:sz w:val="18"/>
          <w:szCs w:val="18"/>
        </w:rPr>
        <w:t xml:space="preserve"> (date+tampon+signature)</w:t>
      </w:r>
    </w:p>
    <w:sectPr w:rsidR="00285D02" w:rsidRPr="00285D02" w:rsidSect="00D7115D">
      <w:pgSz w:w="11906" w:h="16838"/>
      <w:pgMar w:top="899" w:right="926" w:bottom="1417" w:left="9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C33" w:rsidRDefault="00BC4C33">
      <w:r>
        <w:separator/>
      </w:r>
    </w:p>
  </w:endnote>
  <w:endnote w:type="continuationSeparator" w:id="0">
    <w:p w:rsidR="00BC4C33" w:rsidRDefault="00BC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6D5" w:rsidRDefault="00AE26D5">
    <w:pPr>
      <w:pStyle w:val="Pieddepage"/>
      <w:tabs>
        <w:tab w:val="left" w:pos="920"/>
        <w:tab w:val="left" w:pos="7560"/>
      </w:tabs>
      <w:rPr>
        <w:b w:val="0"/>
        <w:bCs w:val="0"/>
      </w:rPr>
    </w:pPr>
    <w:r>
      <w:rPr>
        <w:b w:val="0"/>
        <w:bCs w:val="0"/>
      </w:rPr>
      <w:t>CCAP LOT 1</w:t>
    </w:r>
    <w:r>
      <w:rPr>
        <w:b w:val="0"/>
        <w:bCs w:val="0"/>
      </w:rPr>
      <w:tab/>
    </w:r>
    <w:r>
      <w:rPr>
        <w:b w:val="0"/>
        <w:bCs w:val="0"/>
      </w:rPr>
      <w:tab/>
    </w:r>
    <w:r>
      <w:rPr>
        <w:b w:val="0"/>
        <w:bCs w:val="0"/>
      </w:rPr>
      <w:tab/>
      <w:t xml:space="preserve">- </w:t>
    </w:r>
    <w:r w:rsidR="00771403">
      <w:rPr>
        <w:b w:val="0"/>
        <w:bCs w:val="0"/>
      </w:rPr>
      <w:fldChar w:fldCharType="begin"/>
    </w:r>
    <w:r>
      <w:rPr>
        <w:b w:val="0"/>
        <w:bCs w:val="0"/>
      </w:rPr>
      <w:instrText xml:space="preserve"> PAGE </w:instrText>
    </w:r>
    <w:r w:rsidR="00771403">
      <w:rPr>
        <w:b w:val="0"/>
        <w:bCs w:val="0"/>
      </w:rPr>
      <w:fldChar w:fldCharType="separate"/>
    </w:r>
    <w:r w:rsidR="00536BB4">
      <w:rPr>
        <w:b w:val="0"/>
        <w:bCs w:val="0"/>
        <w:noProof/>
      </w:rPr>
      <w:t>2</w:t>
    </w:r>
    <w:r w:rsidR="00771403">
      <w:rPr>
        <w:b w:val="0"/>
        <w:bCs w:val="0"/>
      </w:rPr>
      <w:fldChar w:fldCharType="end"/>
    </w:r>
    <w:r>
      <w:rPr>
        <w:b w:val="0"/>
        <w:bCs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C33" w:rsidRDefault="00BC4C33">
      <w:r>
        <w:separator/>
      </w:r>
    </w:p>
  </w:footnote>
  <w:footnote w:type="continuationSeparator" w:id="0">
    <w:p w:rsidR="00BC4C33" w:rsidRDefault="00BC4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C0E8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 w15:restartNumberingAfterBreak="0">
    <w:nsid w:val="5B57576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C6D"/>
    <w:rsid w:val="00083DEE"/>
    <w:rsid w:val="000A2BB5"/>
    <w:rsid w:val="00110ACC"/>
    <w:rsid w:val="00235E8B"/>
    <w:rsid w:val="00285D02"/>
    <w:rsid w:val="002918D1"/>
    <w:rsid w:val="00330511"/>
    <w:rsid w:val="00392DE5"/>
    <w:rsid w:val="003E3CE4"/>
    <w:rsid w:val="00536BB4"/>
    <w:rsid w:val="0061318F"/>
    <w:rsid w:val="00771403"/>
    <w:rsid w:val="00910CA1"/>
    <w:rsid w:val="009514F0"/>
    <w:rsid w:val="009C329D"/>
    <w:rsid w:val="009E2A70"/>
    <w:rsid w:val="00A67DFD"/>
    <w:rsid w:val="00AE26D5"/>
    <w:rsid w:val="00BC4C33"/>
    <w:rsid w:val="00CC3A6B"/>
    <w:rsid w:val="00D243F0"/>
    <w:rsid w:val="00D56063"/>
    <w:rsid w:val="00D7115D"/>
    <w:rsid w:val="00DD49EB"/>
    <w:rsid w:val="00E147D7"/>
    <w:rsid w:val="00E208B7"/>
    <w:rsid w:val="00E4007B"/>
    <w:rsid w:val="00E541E8"/>
    <w:rsid w:val="00EC6EE1"/>
    <w:rsid w:val="00ED093B"/>
    <w:rsid w:val="00F02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5776D"/>
  <w15:docId w15:val="{31F46A75-0B2B-49BE-AD32-2F3559D2C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403"/>
    <w:rPr>
      <w:rFonts w:ascii="Verdana" w:hAnsi="Verdana"/>
      <w:b/>
      <w:bCs/>
      <w:sz w:val="22"/>
      <w:szCs w:val="24"/>
    </w:rPr>
  </w:style>
  <w:style w:type="paragraph" w:styleId="Titre4">
    <w:name w:val="heading 4"/>
    <w:basedOn w:val="Normal"/>
    <w:next w:val="Normal"/>
    <w:qFormat/>
    <w:rsid w:val="00771403"/>
    <w:pPr>
      <w:keepNext/>
      <w:outlineLvl w:val="3"/>
    </w:pPr>
  </w:style>
  <w:style w:type="paragraph" w:styleId="Titre5">
    <w:name w:val="heading 5"/>
    <w:basedOn w:val="Normal"/>
    <w:next w:val="Normal"/>
    <w:qFormat/>
    <w:rsid w:val="00771403"/>
    <w:pPr>
      <w:keepNext/>
      <w:jc w:val="cente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771403"/>
    <w:pPr>
      <w:pBdr>
        <w:top w:val="double" w:sz="12" w:space="1" w:color="auto" w:shadow="1"/>
        <w:left w:val="double" w:sz="12" w:space="1" w:color="auto" w:shadow="1"/>
        <w:bottom w:val="double" w:sz="12" w:space="1" w:color="auto" w:shadow="1"/>
        <w:right w:val="double" w:sz="12" w:space="1" w:color="auto" w:shadow="1"/>
      </w:pBdr>
      <w:jc w:val="center"/>
    </w:pPr>
    <w:rPr>
      <w:b w:val="0"/>
      <w:caps/>
      <w:noProof/>
      <w:color w:val="000000"/>
      <w:sz w:val="32"/>
    </w:rPr>
  </w:style>
  <w:style w:type="paragraph" w:customStyle="1" w:styleId="Normal1">
    <w:name w:val="Normal1"/>
    <w:basedOn w:val="Normal"/>
    <w:rsid w:val="00771403"/>
    <w:pPr>
      <w:keepLines/>
      <w:tabs>
        <w:tab w:val="left" w:pos="284"/>
        <w:tab w:val="left" w:pos="567"/>
        <w:tab w:val="left" w:pos="851"/>
      </w:tabs>
      <w:ind w:firstLine="284"/>
      <w:jc w:val="both"/>
    </w:pPr>
    <w:rPr>
      <w:rFonts w:ascii="Times New Roman" w:hAnsi="Times New Roman"/>
      <w:b w:val="0"/>
      <w:bCs w:val="0"/>
      <w:szCs w:val="22"/>
    </w:rPr>
  </w:style>
  <w:style w:type="paragraph" w:styleId="Retraitcorpsdetexte">
    <w:name w:val="Body Text Indent"/>
    <w:basedOn w:val="Normal"/>
    <w:rsid w:val="00771403"/>
    <w:pPr>
      <w:ind w:firstLine="708"/>
      <w:jc w:val="both"/>
    </w:pPr>
    <w:rPr>
      <w:b w:val="0"/>
      <w:bCs w:val="0"/>
      <w:sz w:val="24"/>
    </w:rPr>
  </w:style>
  <w:style w:type="paragraph" w:styleId="Corpsdetexte2">
    <w:name w:val="Body Text 2"/>
    <w:basedOn w:val="Normal"/>
    <w:rsid w:val="00771403"/>
    <w:rPr>
      <w:b w:val="0"/>
      <w:bCs w:val="0"/>
      <w:sz w:val="24"/>
    </w:rPr>
  </w:style>
  <w:style w:type="paragraph" w:styleId="En-tte">
    <w:name w:val="header"/>
    <w:basedOn w:val="Normal"/>
    <w:rsid w:val="00771403"/>
    <w:pPr>
      <w:tabs>
        <w:tab w:val="center" w:pos="4536"/>
        <w:tab w:val="right" w:pos="9072"/>
      </w:tabs>
    </w:pPr>
  </w:style>
  <w:style w:type="paragraph" w:styleId="Pieddepage">
    <w:name w:val="footer"/>
    <w:basedOn w:val="Normal"/>
    <w:rsid w:val="00771403"/>
    <w:pPr>
      <w:tabs>
        <w:tab w:val="center" w:pos="4536"/>
        <w:tab w:val="right" w:pos="9072"/>
      </w:tabs>
    </w:pPr>
  </w:style>
  <w:style w:type="character" w:styleId="Numrodepage">
    <w:name w:val="page number"/>
    <w:basedOn w:val="Policepardfaut"/>
    <w:rsid w:val="00771403"/>
  </w:style>
  <w:style w:type="paragraph" w:styleId="Corpsdetexte3">
    <w:name w:val="Body Text 3"/>
    <w:basedOn w:val="Normal"/>
    <w:rsid w:val="00771403"/>
    <w:pPr>
      <w:jc w:val="both"/>
    </w:pPr>
    <w:rPr>
      <w:b w:val="0"/>
      <w:bCs w:val="0"/>
      <w:sz w:val="24"/>
    </w:rPr>
  </w:style>
  <w:style w:type="paragraph" w:styleId="Textedebulles">
    <w:name w:val="Balloon Text"/>
    <w:basedOn w:val="Normal"/>
    <w:semiHidden/>
    <w:rsid w:val="009C32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8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2566</Characters>
  <Application>Microsoft Office Word</Application>
  <DocSecurity>4</DocSecurity>
  <Lines>21</Lines>
  <Paragraphs>6</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mairie</dc:creator>
  <cp:lastModifiedBy>Mairie</cp:lastModifiedBy>
  <cp:revision>2</cp:revision>
  <cp:lastPrinted>2015-05-20T09:46:00Z</cp:lastPrinted>
  <dcterms:created xsi:type="dcterms:W3CDTF">2023-05-26T11:36:00Z</dcterms:created>
  <dcterms:modified xsi:type="dcterms:W3CDTF">2023-05-26T11:36:00Z</dcterms:modified>
</cp:coreProperties>
</file>